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40" w:rsidRPr="00A6626A" w:rsidRDefault="00E06040" w:rsidP="00E06040">
      <w:pPr>
        <w:rPr>
          <w:rFonts w:ascii="Times New Roman" w:hAnsi="Times New Roman"/>
        </w:rPr>
      </w:pPr>
    </w:p>
    <w:p w:rsidR="00E06040" w:rsidRDefault="00E06040" w:rsidP="00E06040">
      <w:pPr>
        <w:pStyle w:val="ListParagraph"/>
        <w:numPr>
          <w:ilvl w:val="0"/>
          <w:numId w:val="1"/>
        </w:numPr>
        <w:rPr>
          <w:rFonts w:ascii="Times New Roman" w:hAnsi="Times New Roman"/>
          <w:u w:val="single"/>
        </w:rPr>
      </w:pPr>
      <w:r w:rsidRPr="00A6626A">
        <w:rPr>
          <w:rFonts w:ascii="Times New Roman" w:hAnsi="Times New Roman"/>
          <w:u w:val="single"/>
        </w:rPr>
        <w:t>Title</w:t>
      </w:r>
    </w:p>
    <w:p w:rsidR="00A6626A" w:rsidRPr="00A6626A" w:rsidRDefault="00A6626A" w:rsidP="00A6626A">
      <w:pPr>
        <w:pStyle w:val="ListParagraph"/>
        <w:rPr>
          <w:rFonts w:ascii="Times New Roman" w:hAnsi="Times New Roman"/>
          <w:u w:val="single"/>
        </w:rPr>
      </w:pPr>
    </w:p>
    <w:p w:rsidR="00E06040" w:rsidRPr="00A6626A" w:rsidRDefault="00E06040" w:rsidP="00E06040">
      <w:pPr>
        <w:ind w:left="360"/>
        <w:rPr>
          <w:rFonts w:ascii="Times New Roman" w:hAnsi="Times New Roman"/>
        </w:rPr>
      </w:pPr>
      <w:r w:rsidRPr="00A6626A">
        <w:rPr>
          <w:rFonts w:ascii="Times New Roman" w:hAnsi="Times New Roman"/>
        </w:rPr>
        <w:t>Development Support Programme in South-Eastern Myanmar</w:t>
      </w:r>
    </w:p>
    <w:p w:rsidR="00E06040" w:rsidRPr="00A6626A" w:rsidRDefault="00E06040" w:rsidP="00E06040">
      <w:pPr>
        <w:ind w:left="360"/>
        <w:rPr>
          <w:rFonts w:ascii="Times New Roman" w:hAnsi="Times New Roman"/>
        </w:rPr>
      </w:pPr>
    </w:p>
    <w:p w:rsidR="00E06040" w:rsidRDefault="00E06040" w:rsidP="00E06040">
      <w:pPr>
        <w:pStyle w:val="ListParagraph"/>
        <w:numPr>
          <w:ilvl w:val="0"/>
          <w:numId w:val="1"/>
        </w:numPr>
        <w:rPr>
          <w:rFonts w:ascii="Times New Roman" w:hAnsi="Times New Roman"/>
          <w:u w:val="single"/>
        </w:rPr>
      </w:pPr>
      <w:r w:rsidRPr="00A6626A">
        <w:rPr>
          <w:rFonts w:ascii="Times New Roman" w:hAnsi="Times New Roman"/>
          <w:u w:val="single"/>
        </w:rPr>
        <w:t>Project description and justification</w:t>
      </w:r>
    </w:p>
    <w:p w:rsidR="00A6626A" w:rsidRPr="00A6626A" w:rsidRDefault="00A6626A" w:rsidP="00A6626A">
      <w:pPr>
        <w:pStyle w:val="ListParagraph"/>
        <w:rPr>
          <w:rFonts w:ascii="Times New Roman" w:hAnsi="Times New Roman"/>
          <w:u w:val="single"/>
        </w:rPr>
      </w:pPr>
    </w:p>
    <w:p w:rsidR="005E175F" w:rsidRDefault="00E06040" w:rsidP="005E175F">
      <w:pPr>
        <w:ind w:left="360"/>
        <w:jc w:val="both"/>
        <w:rPr>
          <w:rFonts w:ascii="Times New Roman" w:hAnsi="Times New Roman"/>
        </w:rPr>
      </w:pPr>
      <w:r w:rsidRPr="00A6626A">
        <w:rPr>
          <w:rFonts w:ascii="Times New Roman" w:hAnsi="Times New Roman"/>
        </w:rPr>
        <w:t>The South-East is understood as covering Eastern Bago, Kayah, Kayin, Mon and Tanintharyi.</w:t>
      </w:r>
      <w:r w:rsidRPr="00A6626A">
        <w:rPr>
          <w:rStyle w:val="FootnoteReference"/>
          <w:rFonts w:ascii="Times New Roman" w:hAnsi="Times New Roman"/>
        </w:rPr>
        <w:footnoteReference w:id="1"/>
      </w:r>
      <w:r w:rsidRPr="00A6626A">
        <w:rPr>
          <w:rFonts w:ascii="Times New Roman" w:hAnsi="Times New Roman"/>
        </w:rPr>
        <w:t xml:space="preserve"> The states and regions of the South-East are made-up of many different ethnic groups. Several Non State Armed Groups (NSAGs) in the South-East have been in protracted conflict with the government for decades. While the historical roots and trajectories of these conflicts differ from one to another, the key contestations are largely around the rights and freedoms of the ethnic </w:t>
      </w:r>
      <w:proofErr w:type="gramStart"/>
      <w:r w:rsidRPr="00A6626A">
        <w:rPr>
          <w:rFonts w:ascii="Times New Roman" w:hAnsi="Times New Roman"/>
        </w:rPr>
        <w:t>minorities</w:t>
      </w:r>
      <w:proofErr w:type="gramEnd"/>
      <w:r w:rsidRPr="00A6626A">
        <w:rPr>
          <w:rFonts w:ascii="Times New Roman" w:hAnsi="Times New Roman"/>
        </w:rPr>
        <w:t xml:space="preserve"> vis-à-vis the center to a more equitable and inclusive Myanmar, including the assurance of equality, peace, human rights, development opportunities and greater autonomy. Decades of conflict have resulted in both direct and indirect human costs, including deaths, injury and the protracted displacement of populations both within and outside the country. Additionally, communities are adversely impacted by land issues and land conflicts, mine and UXO contamination and the loss of socio-economic opportunities. As is always the case, displacement, conflict and under-development has taken its heaviest tolls on the more vulnerable groups in the South-East, including women, children and the economically disadvantaged.</w:t>
      </w:r>
    </w:p>
    <w:p w:rsidR="005E175F" w:rsidRDefault="005E175F" w:rsidP="005E175F">
      <w:pPr>
        <w:ind w:left="360"/>
        <w:jc w:val="both"/>
        <w:rPr>
          <w:rFonts w:ascii="Times New Roman" w:hAnsi="Times New Roman"/>
        </w:rPr>
      </w:pPr>
    </w:p>
    <w:p w:rsidR="005E175F" w:rsidRPr="005E175F" w:rsidRDefault="00E06040" w:rsidP="005E175F">
      <w:pPr>
        <w:ind w:left="360"/>
        <w:jc w:val="both"/>
        <w:rPr>
          <w:rFonts w:ascii="Times New Roman" w:hAnsi="Times New Roman"/>
        </w:rPr>
      </w:pPr>
      <w:r w:rsidRPr="005E175F">
        <w:rPr>
          <w:rFonts w:ascii="Times New Roman" w:hAnsi="Times New Roman"/>
        </w:rPr>
        <w:t>Against this background, UNDP will implement a development support programme in 2016-2018 in a way that more strategically and meaningfully contributes to durable solutions, recovery, development and peacebuilding in the South East.</w:t>
      </w:r>
      <w:r w:rsidR="005E175F" w:rsidRPr="005E175F">
        <w:rPr>
          <w:rFonts w:ascii="Times New Roman" w:hAnsi="Times New Roman"/>
        </w:rPr>
        <w:t xml:space="preserve"> Target groups are returnees, communities hosting returnees and affected communities, local level government institutions and local administrations, Civil Society Organizations (CSOs) and Community-Based Organizations (CBOs) and district business chambers in South-Eastern Myanmar.</w:t>
      </w:r>
    </w:p>
    <w:p w:rsidR="005E175F" w:rsidRPr="00A6626A" w:rsidRDefault="005E175F" w:rsidP="005E175F">
      <w:pPr>
        <w:jc w:val="both"/>
        <w:rPr>
          <w:rFonts w:ascii="Times New Roman" w:hAnsi="Times New Roman"/>
        </w:rPr>
      </w:pPr>
    </w:p>
    <w:p w:rsidR="00E06040" w:rsidRPr="00A6626A" w:rsidRDefault="00E06040" w:rsidP="00E06040">
      <w:pPr>
        <w:rPr>
          <w:rFonts w:ascii="Times New Roman" w:hAnsi="Times New Roman"/>
        </w:rPr>
      </w:pPr>
    </w:p>
    <w:p w:rsidR="00E06040" w:rsidRDefault="00E06040" w:rsidP="00E06040">
      <w:pPr>
        <w:pStyle w:val="ListParagraph"/>
        <w:numPr>
          <w:ilvl w:val="0"/>
          <w:numId w:val="1"/>
        </w:numPr>
        <w:rPr>
          <w:rFonts w:ascii="Times New Roman" w:hAnsi="Times New Roman"/>
          <w:u w:val="single"/>
        </w:rPr>
      </w:pPr>
      <w:r w:rsidRPr="00A6626A">
        <w:rPr>
          <w:rFonts w:ascii="Times New Roman" w:hAnsi="Times New Roman"/>
          <w:u w:val="single"/>
        </w:rPr>
        <w:t>Programme Manager</w:t>
      </w:r>
    </w:p>
    <w:p w:rsidR="00A6626A" w:rsidRPr="00A6626A" w:rsidRDefault="00A6626A" w:rsidP="00A6626A">
      <w:pPr>
        <w:pStyle w:val="ListParagraph"/>
        <w:rPr>
          <w:rFonts w:ascii="Times New Roman" w:hAnsi="Times New Roman"/>
          <w:u w:val="single"/>
        </w:rPr>
      </w:pPr>
    </w:p>
    <w:p w:rsidR="00E06040" w:rsidRPr="00A6626A" w:rsidRDefault="00E06040" w:rsidP="00E06040">
      <w:pPr>
        <w:ind w:left="360"/>
        <w:rPr>
          <w:rFonts w:ascii="Times New Roman" w:hAnsi="Times New Roman"/>
        </w:rPr>
      </w:pPr>
      <w:r w:rsidRPr="00A6626A">
        <w:rPr>
          <w:rFonts w:ascii="Times New Roman" w:hAnsi="Times New Roman"/>
        </w:rPr>
        <w:t>Christian Hainzl</w:t>
      </w:r>
    </w:p>
    <w:p w:rsidR="00E06040" w:rsidRPr="00A6626A" w:rsidRDefault="00E06040" w:rsidP="00E06040">
      <w:pPr>
        <w:ind w:left="360"/>
        <w:rPr>
          <w:rFonts w:ascii="Times New Roman" w:hAnsi="Times New Roman"/>
        </w:rPr>
      </w:pPr>
    </w:p>
    <w:p w:rsidR="00E06040" w:rsidRDefault="00E06040" w:rsidP="00E06040">
      <w:pPr>
        <w:pStyle w:val="ListParagraph"/>
        <w:numPr>
          <w:ilvl w:val="0"/>
          <w:numId w:val="1"/>
        </w:numPr>
        <w:rPr>
          <w:rFonts w:ascii="Times New Roman" w:hAnsi="Times New Roman"/>
          <w:u w:val="single"/>
        </w:rPr>
      </w:pPr>
      <w:r w:rsidRPr="00A6626A">
        <w:rPr>
          <w:rFonts w:ascii="Times New Roman" w:hAnsi="Times New Roman"/>
          <w:u w:val="single"/>
        </w:rPr>
        <w:t>Start and End date</w:t>
      </w:r>
    </w:p>
    <w:p w:rsidR="00A6626A" w:rsidRPr="00A6626A" w:rsidRDefault="00A6626A" w:rsidP="00A6626A">
      <w:pPr>
        <w:pStyle w:val="ListParagraph"/>
        <w:rPr>
          <w:rFonts w:ascii="Times New Roman" w:hAnsi="Times New Roman"/>
          <w:u w:val="single"/>
        </w:rPr>
      </w:pPr>
    </w:p>
    <w:p w:rsidR="00E06040" w:rsidRPr="00A6626A" w:rsidRDefault="00E06040" w:rsidP="00E06040">
      <w:pPr>
        <w:ind w:left="360"/>
        <w:rPr>
          <w:rFonts w:ascii="Times New Roman" w:hAnsi="Times New Roman"/>
        </w:rPr>
      </w:pPr>
      <w:r w:rsidRPr="00A6626A">
        <w:rPr>
          <w:rFonts w:ascii="Times New Roman" w:hAnsi="Times New Roman"/>
        </w:rPr>
        <w:t>Start: January 2016</w:t>
      </w:r>
    </w:p>
    <w:p w:rsidR="00E06040" w:rsidRPr="00A6626A" w:rsidRDefault="00E06040" w:rsidP="00E06040">
      <w:pPr>
        <w:ind w:left="360"/>
        <w:rPr>
          <w:rFonts w:ascii="Times New Roman" w:hAnsi="Times New Roman"/>
        </w:rPr>
      </w:pPr>
      <w:r w:rsidRPr="00A6626A">
        <w:rPr>
          <w:rFonts w:ascii="Times New Roman" w:hAnsi="Times New Roman"/>
        </w:rPr>
        <w:t>End: December 2018</w:t>
      </w:r>
    </w:p>
    <w:p w:rsidR="004E501E" w:rsidRPr="00A6626A" w:rsidRDefault="004E501E" w:rsidP="00E06040">
      <w:pPr>
        <w:ind w:left="360"/>
        <w:rPr>
          <w:rFonts w:ascii="Times New Roman" w:hAnsi="Times New Roman"/>
        </w:rPr>
      </w:pPr>
    </w:p>
    <w:p w:rsidR="00E06040" w:rsidRPr="00A6626A" w:rsidRDefault="00E06040" w:rsidP="00E06040">
      <w:pPr>
        <w:pStyle w:val="ListParagraph"/>
        <w:numPr>
          <w:ilvl w:val="0"/>
          <w:numId w:val="1"/>
        </w:numPr>
        <w:rPr>
          <w:rFonts w:ascii="Times New Roman" w:hAnsi="Times New Roman"/>
          <w:u w:val="single"/>
        </w:rPr>
      </w:pPr>
      <w:r w:rsidRPr="00A6626A">
        <w:rPr>
          <w:rFonts w:ascii="Times New Roman" w:hAnsi="Times New Roman"/>
          <w:u w:val="single"/>
        </w:rPr>
        <w:t xml:space="preserve">Resources (per year) split in regular and others) </w:t>
      </w:r>
    </w:p>
    <w:p w:rsidR="004E501E" w:rsidRPr="00A6626A" w:rsidRDefault="004E501E" w:rsidP="004E501E">
      <w:pPr>
        <w:ind w:left="360"/>
        <w:rPr>
          <w:rFonts w:ascii="Times New Roman" w:hAnsi="Times New Roman"/>
          <w:u w:val="single"/>
        </w:rPr>
      </w:pPr>
    </w:p>
    <w:tbl>
      <w:tblPr>
        <w:tblStyle w:val="TableGrid"/>
        <w:tblW w:w="0" w:type="auto"/>
        <w:tblInd w:w="360" w:type="dxa"/>
        <w:tblLook w:val="04A0" w:firstRow="1" w:lastRow="0" w:firstColumn="1" w:lastColumn="0" w:noHBand="0" w:noVBand="1"/>
      </w:tblPr>
      <w:tblGrid>
        <w:gridCol w:w="1112"/>
        <w:gridCol w:w="1112"/>
        <w:gridCol w:w="1112"/>
        <w:gridCol w:w="1112"/>
        <w:gridCol w:w="1112"/>
        <w:gridCol w:w="1112"/>
        <w:gridCol w:w="1112"/>
        <w:gridCol w:w="1206"/>
      </w:tblGrid>
      <w:tr w:rsidR="00A6626A" w:rsidRPr="00A6626A" w:rsidTr="00A6626A">
        <w:tc>
          <w:tcPr>
            <w:tcW w:w="2246" w:type="dxa"/>
            <w:gridSpan w:val="2"/>
          </w:tcPr>
          <w:p w:rsidR="004E501E" w:rsidRPr="00A6626A" w:rsidRDefault="004E501E" w:rsidP="004E501E">
            <w:pPr>
              <w:jc w:val="center"/>
              <w:rPr>
                <w:rFonts w:ascii="Times New Roman" w:hAnsi="Times New Roman"/>
                <w:b/>
              </w:rPr>
            </w:pPr>
            <w:r w:rsidRPr="00A6626A">
              <w:rPr>
                <w:rFonts w:ascii="Times New Roman" w:hAnsi="Times New Roman"/>
                <w:b/>
              </w:rPr>
              <w:t>2016</w:t>
            </w:r>
          </w:p>
        </w:tc>
        <w:tc>
          <w:tcPr>
            <w:tcW w:w="2247" w:type="dxa"/>
            <w:gridSpan w:val="2"/>
          </w:tcPr>
          <w:p w:rsidR="004E501E" w:rsidRPr="00A6626A" w:rsidRDefault="004E501E" w:rsidP="004E501E">
            <w:pPr>
              <w:jc w:val="center"/>
              <w:rPr>
                <w:rFonts w:ascii="Times New Roman" w:hAnsi="Times New Roman"/>
                <w:b/>
              </w:rPr>
            </w:pPr>
            <w:r w:rsidRPr="00A6626A">
              <w:rPr>
                <w:rFonts w:ascii="Times New Roman" w:hAnsi="Times New Roman"/>
                <w:b/>
              </w:rPr>
              <w:t>2017</w:t>
            </w:r>
          </w:p>
        </w:tc>
        <w:tc>
          <w:tcPr>
            <w:tcW w:w="2248" w:type="dxa"/>
            <w:gridSpan w:val="2"/>
          </w:tcPr>
          <w:p w:rsidR="004E501E" w:rsidRPr="00A6626A" w:rsidRDefault="004E501E" w:rsidP="004E501E">
            <w:pPr>
              <w:jc w:val="center"/>
              <w:rPr>
                <w:rFonts w:ascii="Times New Roman" w:hAnsi="Times New Roman"/>
                <w:b/>
              </w:rPr>
            </w:pPr>
            <w:r w:rsidRPr="00A6626A">
              <w:rPr>
                <w:rFonts w:ascii="Times New Roman" w:hAnsi="Times New Roman"/>
                <w:b/>
              </w:rPr>
              <w:t>2018</w:t>
            </w:r>
          </w:p>
        </w:tc>
        <w:tc>
          <w:tcPr>
            <w:tcW w:w="2249" w:type="dxa"/>
            <w:gridSpan w:val="2"/>
          </w:tcPr>
          <w:p w:rsidR="004E501E" w:rsidRPr="00A6626A" w:rsidRDefault="004E501E" w:rsidP="004E501E">
            <w:pPr>
              <w:jc w:val="center"/>
              <w:rPr>
                <w:rFonts w:ascii="Times New Roman" w:hAnsi="Times New Roman"/>
                <w:b/>
              </w:rPr>
            </w:pPr>
            <w:r w:rsidRPr="00A6626A">
              <w:rPr>
                <w:rFonts w:ascii="Times New Roman" w:hAnsi="Times New Roman"/>
                <w:b/>
              </w:rPr>
              <w:t>Total</w:t>
            </w:r>
          </w:p>
        </w:tc>
      </w:tr>
      <w:tr w:rsidR="00A6626A" w:rsidRPr="00A6626A" w:rsidTr="0083132D">
        <w:tc>
          <w:tcPr>
            <w:tcW w:w="1123" w:type="dxa"/>
          </w:tcPr>
          <w:p w:rsidR="00A6626A" w:rsidRPr="00A6626A" w:rsidRDefault="00A6626A" w:rsidP="004E501E">
            <w:pPr>
              <w:jc w:val="center"/>
              <w:rPr>
                <w:rFonts w:ascii="Times New Roman" w:hAnsi="Times New Roman"/>
              </w:rPr>
            </w:pPr>
            <w:r w:rsidRPr="00A6626A">
              <w:rPr>
                <w:rFonts w:ascii="Times New Roman" w:hAnsi="Times New Roman"/>
              </w:rPr>
              <w:t xml:space="preserve">Regular </w:t>
            </w:r>
          </w:p>
        </w:tc>
        <w:tc>
          <w:tcPr>
            <w:tcW w:w="1123" w:type="dxa"/>
          </w:tcPr>
          <w:p w:rsidR="00A6626A" w:rsidRPr="00A6626A" w:rsidRDefault="00A6626A" w:rsidP="004E501E">
            <w:pPr>
              <w:jc w:val="center"/>
              <w:rPr>
                <w:rFonts w:ascii="Times New Roman" w:hAnsi="Times New Roman"/>
              </w:rPr>
            </w:pPr>
            <w:r w:rsidRPr="00A6626A">
              <w:rPr>
                <w:rFonts w:ascii="Times New Roman" w:hAnsi="Times New Roman"/>
              </w:rPr>
              <w:t>non-core</w:t>
            </w:r>
          </w:p>
        </w:tc>
        <w:tc>
          <w:tcPr>
            <w:tcW w:w="1123" w:type="dxa"/>
          </w:tcPr>
          <w:p w:rsidR="00A6626A" w:rsidRPr="00A6626A" w:rsidRDefault="00A6626A" w:rsidP="004E501E">
            <w:pPr>
              <w:jc w:val="center"/>
              <w:rPr>
                <w:rFonts w:ascii="Times New Roman" w:hAnsi="Times New Roman"/>
              </w:rPr>
            </w:pPr>
            <w:r w:rsidRPr="00A6626A">
              <w:rPr>
                <w:rFonts w:ascii="Times New Roman" w:hAnsi="Times New Roman"/>
              </w:rPr>
              <w:t xml:space="preserve">Regular </w:t>
            </w:r>
          </w:p>
        </w:tc>
        <w:tc>
          <w:tcPr>
            <w:tcW w:w="1124" w:type="dxa"/>
          </w:tcPr>
          <w:p w:rsidR="00A6626A" w:rsidRPr="00A6626A" w:rsidRDefault="00A6626A" w:rsidP="004E501E">
            <w:pPr>
              <w:jc w:val="center"/>
              <w:rPr>
                <w:rFonts w:ascii="Times New Roman" w:hAnsi="Times New Roman"/>
              </w:rPr>
            </w:pPr>
            <w:r w:rsidRPr="00A6626A">
              <w:rPr>
                <w:rFonts w:ascii="Times New Roman" w:hAnsi="Times New Roman"/>
              </w:rPr>
              <w:t>non-core</w:t>
            </w:r>
          </w:p>
        </w:tc>
        <w:tc>
          <w:tcPr>
            <w:tcW w:w="1124" w:type="dxa"/>
          </w:tcPr>
          <w:p w:rsidR="00A6626A" w:rsidRPr="00A6626A" w:rsidRDefault="00A6626A" w:rsidP="004E501E">
            <w:pPr>
              <w:jc w:val="center"/>
              <w:rPr>
                <w:rFonts w:ascii="Times New Roman" w:hAnsi="Times New Roman"/>
              </w:rPr>
            </w:pPr>
            <w:r w:rsidRPr="00A6626A">
              <w:rPr>
                <w:rFonts w:ascii="Times New Roman" w:hAnsi="Times New Roman"/>
              </w:rPr>
              <w:t xml:space="preserve">Regular </w:t>
            </w:r>
          </w:p>
        </w:tc>
        <w:tc>
          <w:tcPr>
            <w:tcW w:w="1124" w:type="dxa"/>
          </w:tcPr>
          <w:p w:rsidR="00A6626A" w:rsidRPr="00A6626A" w:rsidRDefault="00A6626A" w:rsidP="004E501E">
            <w:pPr>
              <w:jc w:val="center"/>
              <w:rPr>
                <w:rFonts w:ascii="Times New Roman" w:hAnsi="Times New Roman"/>
              </w:rPr>
            </w:pPr>
            <w:r w:rsidRPr="00A6626A">
              <w:rPr>
                <w:rFonts w:ascii="Times New Roman" w:hAnsi="Times New Roman"/>
              </w:rPr>
              <w:t>non-core</w:t>
            </w:r>
          </w:p>
        </w:tc>
        <w:tc>
          <w:tcPr>
            <w:tcW w:w="1124" w:type="dxa"/>
          </w:tcPr>
          <w:p w:rsidR="00A6626A" w:rsidRPr="00A6626A" w:rsidRDefault="00A6626A" w:rsidP="004E501E">
            <w:pPr>
              <w:jc w:val="center"/>
              <w:rPr>
                <w:rFonts w:ascii="Times New Roman" w:hAnsi="Times New Roman"/>
              </w:rPr>
            </w:pPr>
            <w:r w:rsidRPr="00A6626A">
              <w:rPr>
                <w:rFonts w:ascii="Times New Roman" w:hAnsi="Times New Roman"/>
              </w:rPr>
              <w:t xml:space="preserve">Regular </w:t>
            </w:r>
          </w:p>
        </w:tc>
        <w:tc>
          <w:tcPr>
            <w:tcW w:w="1125" w:type="dxa"/>
          </w:tcPr>
          <w:p w:rsidR="00A6626A" w:rsidRPr="00A6626A" w:rsidRDefault="00A6626A" w:rsidP="004E501E">
            <w:pPr>
              <w:jc w:val="center"/>
              <w:rPr>
                <w:rFonts w:ascii="Times New Roman" w:hAnsi="Times New Roman"/>
              </w:rPr>
            </w:pPr>
            <w:r w:rsidRPr="00A6626A">
              <w:rPr>
                <w:rFonts w:ascii="Times New Roman" w:hAnsi="Times New Roman"/>
              </w:rPr>
              <w:t>non-core</w:t>
            </w:r>
          </w:p>
        </w:tc>
      </w:tr>
      <w:tr w:rsidR="00A6626A" w:rsidRPr="00A6626A" w:rsidTr="0083132D">
        <w:tc>
          <w:tcPr>
            <w:tcW w:w="1123" w:type="dxa"/>
          </w:tcPr>
          <w:p w:rsidR="00A6626A" w:rsidRPr="00A6626A" w:rsidRDefault="00A6626A" w:rsidP="00A6626A">
            <w:pPr>
              <w:rPr>
                <w:rFonts w:ascii="Times New Roman" w:hAnsi="Times New Roman"/>
              </w:rPr>
            </w:pPr>
            <w:r w:rsidRPr="00A6626A">
              <w:rPr>
                <w:rFonts w:ascii="Times New Roman" w:hAnsi="Times New Roman"/>
              </w:rPr>
              <w:t>1,000,000</w:t>
            </w:r>
          </w:p>
        </w:tc>
        <w:tc>
          <w:tcPr>
            <w:tcW w:w="1123" w:type="dxa"/>
          </w:tcPr>
          <w:p w:rsidR="00A6626A" w:rsidRPr="00A6626A" w:rsidRDefault="00A6626A" w:rsidP="004E501E">
            <w:pPr>
              <w:jc w:val="center"/>
              <w:rPr>
                <w:rFonts w:ascii="Times New Roman" w:hAnsi="Times New Roman"/>
              </w:rPr>
            </w:pPr>
            <w:r w:rsidRPr="00A6626A">
              <w:rPr>
                <w:rFonts w:ascii="Times New Roman" w:hAnsi="Times New Roman"/>
              </w:rPr>
              <w:t>2,00</w:t>
            </w:r>
            <w:r w:rsidR="00D414DA">
              <w:rPr>
                <w:rFonts w:ascii="Times New Roman" w:hAnsi="Times New Roman"/>
              </w:rPr>
              <w:t>0</w:t>
            </w:r>
            <w:r w:rsidRPr="00A6626A">
              <w:rPr>
                <w:rFonts w:ascii="Times New Roman" w:hAnsi="Times New Roman"/>
              </w:rPr>
              <w:t>,000</w:t>
            </w:r>
          </w:p>
        </w:tc>
        <w:tc>
          <w:tcPr>
            <w:tcW w:w="1123" w:type="dxa"/>
          </w:tcPr>
          <w:p w:rsidR="00A6626A" w:rsidRPr="00A6626A" w:rsidRDefault="00A6626A" w:rsidP="00A6626A">
            <w:pPr>
              <w:jc w:val="center"/>
              <w:rPr>
                <w:rFonts w:ascii="Times New Roman" w:hAnsi="Times New Roman"/>
              </w:rPr>
            </w:pPr>
            <w:r w:rsidRPr="00A6626A">
              <w:rPr>
                <w:rFonts w:ascii="Times New Roman" w:hAnsi="Times New Roman"/>
              </w:rPr>
              <w:t>1,000,000</w:t>
            </w:r>
          </w:p>
          <w:p w:rsidR="00A6626A" w:rsidRPr="00A6626A" w:rsidRDefault="00A6626A" w:rsidP="004E501E">
            <w:pPr>
              <w:jc w:val="center"/>
              <w:rPr>
                <w:rFonts w:ascii="Times New Roman" w:hAnsi="Times New Roman"/>
              </w:rPr>
            </w:pPr>
          </w:p>
        </w:tc>
        <w:tc>
          <w:tcPr>
            <w:tcW w:w="1124" w:type="dxa"/>
          </w:tcPr>
          <w:p w:rsidR="00A6626A" w:rsidRPr="00A6626A" w:rsidRDefault="008B3389" w:rsidP="008B3389">
            <w:pPr>
              <w:jc w:val="center"/>
              <w:rPr>
                <w:rFonts w:ascii="Times New Roman" w:hAnsi="Times New Roman"/>
              </w:rPr>
            </w:pPr>
            <w:r>
              <w:rPr>
                <w:rFonts w:ascii="Times New Roman" w:hAnsi="Times New Roman"/>
              </w:rPr>
              <w:t>9</w:t>
            </w:r>
            <w:r w:rsidR="00A6626A" w:rsidRPr="00A6626A">
              <w:rPr>
                <w:rFonts w:ascii="Times New Roman" w:hAnsi="Times New Roman"/>
              </w:rPr>
              <w:t>,00</w:t>
            </w:r>
            <w:r w:rsidR="00D414DA">
              <w:rPr>
                <w:rFonts w:ascii="Times New Roman" w:hAnsi="Times New Roman"/>
              </w:rPr>
              <w:t>0</w:t>
            </w:r>
            <w:r w:rsidR="00A6626A" w:rsidRPr="00A6626A">
              <w:rPr>
                <w:rFonts w:ascii="Times New Roman" w:hAnsi="Times New Roman"/>
              </w:rPr>
              <w:t>,000</w:t>
            </w:r>
          </w:p>
        </w:tc>
        <w:tc>
          <w:tcPr>
            <w:tcW w:w="1124" w:type="dxa"/>
          </w:tcPr>
          <w:p w:rsidR="00A6626A" w:rsidRPr="00A6626A" w:rsidRDefault="00A6626A" w:rsidP="00A6626A">
            <w:pPr>
              <w:jc w:val="center"/>
              <w:rPr>
                <w:rFonts w:ascii="Times New Roman" w:hAnsi="Times New Roman"/>
              </w:rPr>
            </w:pPr>
            <w:r w:rsidRPr="00A6626A">
              <w:rPr>
                <w:rFonts w:ascii="Times New Roman" w:hAnsi="Times New Roman"/>
              </w:rPr>
              <w:t>1,000,000</w:t>
            </w:r>
          </w:p>
          <w:p w:rsidR="00A6626A" w:rsidRPr="00A6626A" w:rsidRDefault="00A6626A" w:rsidP="004E501E">
            <w:pPr>
              <w:jc w:val="center"/>
              <w:rPr>
                <w:rFonts w:ascii="Times New Roman" w:hAnsi="Times New Roman"/>
              </w:rPr>
            </w:pPr>
          </w:p>
        </w:tc>
        <w:tc>
          <w:tcPr>
            <w:tcW w:w="1124" w:type="dxa"/>
          </w:tcPr>
          <w:p w:rsidR="00A6626A" w:rsidRPr="00A6626A" w:rsidRDefault="00A6626A" w:rsidP="004E501E">
            <w:pPr>
              <w:jc w:val="center"/>
              <w:rPr>
                <w:rFonts w:ascii="Times New Roman" w:hAnsi="Times New Roman"/>
              </w:rPr>
            </w:pPr>
            <w:r w:rsidRPr="00A6626A">
              <w:rPr>
                <w:rFonts w:ascii="Times New Roman" w:hAnsi="Times New Roman"/>
              </w:rPr>
              <w:t>2,</w:t>
            </w:r>
            <w:r w:rsidR="00D414DA">
              <w:rPr>
                <w:rFonts w:ascii="Times New Roman" w:hAnsi="Times New Roman"/>
              </w:rPr>
              <w:t>0</w:t>
            </w:r>
            <w:r w:rsidRPr="00A6626A">
              <w:rPr>
                <w:rFonts w:ascii="Times New Roman" w:hAnsi="Times New Roman"/>
              </w:rPr>
              <w:t>00,000</w:t>
            </w:r>
          </w:p>
        </w:tc>
        <w:tc>
          <w:tcPr>
            <w:tcW w:w="1124" w:type="dxa"/>
          </w:tcPr>
          <w:p w:rsidR="00A6626A" w:rsidRPr="00A6626A" w:rsidRDefault="00A6626A" w:rsidP="004E501E">
            <w:pPr>
              <w:jc w:val="center"/>
              <w:rPr>
                <w:rFonts w:ascii="Times New Roman" w:hAnsi="Times New Roman"/>
              </w:rPr>
            </w:pPr>
            <w:r w:rsidRPr="00A6626A">
              <w:rPr>
                <w:rFonts w:ascii="Times New Roman" w:hAnsi="Times New Roman"/>
              </w:rPr>
              <w:t>3,000,000</w:t>
            </w:r>
          </w:p>
        </w:tc>
        <w:tc>
          <w:tcPr>
            <w:tcW w:w="1125" w:type="dxa"/>
          </w:tcPr>
          <w:p w:rsidR="00A6626A" w:rsidRPr="00A6626A" w:rsidRDefault="008B3389" w:rsidP="008B3389">
            <w:pPr>
              <w:jc w:val="center"/>
              <w:rPr>
                <w:rFonts w:ascii="Times New Roman" w:hAnsi="Times New Roman"/>
              </w:rPr>
            </w:pPr>
            <w:r>
              <w:rPr>
                <w:rFonts w:ascii="Times New Roman" w:hAnsi="Times New Roman"/>
              </w:rPr>
              <w:t>13</w:t>
            </w:r>
            <w:r w:rsidR="00A6626A" w:rsidRPr="00A6626A">
              <w:rPr>
                <w:rFonts w:ascii="Times New Roman" w:hAnsi="Times New Roman"/>
              </w:rPr>
              <w:t>,000,000</w:t>
            </w:r>
          </w:p>
        </w:tc>
      </w:tr>
      <w:tr w:rsidR="00A6626A" w:rsidRPr="00A6626A" w:rsidTr="000116EF">
        <w:tc>
          <w:tcPr>
            <w:tcW w:w="2246" w:type="dxa"/>
            <w:gridSpan w:val="2"/>
          </w:tcPr>
          <w:p w:rsidR="00A6626A" w:rsidRPr="00A6626A" w:rsidRDefault="00A6626A" w:rsidP="004E501E">
            <w:pPr>
              <w:jc w:val="center"/>
              <w:rPr>
                <w:rFonts w:ascii="Times New Roman" w:hAnsi="Times New Roman"/>
              </w:rPr>
            </w:pPr>
            <w:r w:rsidRPr="00A6626A">
              <w:rPr>
                <w:rFonts w:ascii="Times New Roman" w:hAnsi="Times New Roman"/>
              </w:rPr>
              <w:t>3,000,000</w:t>
            </w:r>
          </w:p>
        </w:tc>
        <w:tc>
          <w:tcPr>
            <w:tcW w:w="2247" w:type="dxa"/>
            <w:gridSpan w:val="2"/>
          </w:tcPr>
          <w:p w:rsidR="00A6626A" w:rsidRPr="00A6626A" w:rsidRDefault="008B3389" w:rsidP="008B3389">
            <w:pPr>
              <w:jc w:val="center"/>
              <w:rPr>
                <w:rFonts w:ascii="Times New Roman" w:hAnsi="Times New Roman"/>
              </w:rPr>
            </w:pPr>
            <w:r>
              <w:rPr>
                <w:rFonts w:ascii="Times New Roman" w:hAnsi="Times New Roman"/>
              </w:rPr>
              <w:t>10</w:t>
            </w:r>
            <w:r w:rsidR="00A6626A" w:rsidRPr="00A6626A">
              <w:rPr>
                <w:rFonts w:ascii="Times New Roman" w:hAnsi="Times New Roman"/>
              </w:rPr>
              <w:t>,000,000</w:t>
            </w:r>
          </w:p>
        </w:tc>
        <w:tc>
          <w:tcPr>
            <w:tcW w:w="2248" w:type="dxa"/>
            <w:gridSpan w:val="2"/>
          </w:tcPr>
          <w:p w:rsidR="00A6626A" w:rsidRPr="00A6626A" w:rsidRDefault="00A6626A" w:rsidP="004E501E">
            <w:pPr>
              <w:jc w:val="center"/>
              <w:rPr>
                <w:rFonts w:ascii="Times New Roman" w:hAnsi="Times New Roman"/>
              </w:rPr>
            </w:pPr>
            <w:r w:rsidRPr="00A6626A">
              <w:rPr>
                <w:rFonts w:ascii="Times New Roman" w:hAnsi="Times New Roman"/>
              </w:rPr>
              <w:t>3,000,000</w:t>
            </w:r>
          </w:p>
        </w:tc>
        <w:tc>
          <w:tcPr>
            <w:tcW w:w="2249" w:type="dxa"/>
            <w:gridSpan w:val="2"/>
          </w:tcPr>
          <w:p w:rsidR="00A6626A" w:rsidRPr="00A6626A" w:rsidRDefault="008B3389" w:rsidP="008B3389">
            <w:pPr>
              <w:jc w:val="center"/>
              <w:rPr>
                <w:rFonts w:ascii="Times New Roman" w:hAnsi="Times New Roman"/>
              </w:rPr>
            </w:pPr>
            <w:r>
              <w:rPr>
                <w:rFonts w:ascii="Times New Roman" w:hAnsi="Times New Roman"/>
              </w:rPr>
              <w:t>16,</w:t>
            </w:r>
            <w:r w:rsidR="00A6626A" w:rsidRPr="00A6626A">
              <w:rPr>
                <w:rFonts w:ascii="Times New Roman" w:hAnsi="Times New Roman"/>
              </w:rPr>
              <w:t>000,000</w:t>
            </w:r>
          </w:p>
        </w:tc>
      </w:tr>
    </w:tbl>
    <w:p w:rsidR="004E501E" w:rsidRPr="00A6626A" w:rsidRDefault="004E501E" w:rsidP="00A6626A">
      <w:pPr>
        <w:rPr>
          <w:rFonts w:ascii="Times New Roman" w:hAnsi="Times New Roman"/>
          <w:u w:val="single"/>
        </w:rPr>
      </w:pPr>
    </w:p>
    <w:p w:rsidR="00E06040" w:rsidRPr="00A6626A" w:rsidRDefault="00E06040" w:rsidP="00E06040">
      <w:pPr>
        <w:pStyle w:val="ListParagraph"/>
        <w:numPr>
          <w:ilvl w:val="0"/>
          <w:numId w:val="1"/>
        </w:numPr>
        <w:rPr>
          <w:rFonts w:ascii="Times New Roman" w:hAnsi="Times New Roman"/>
          <w:u w:val="single"/>
        </w:rPr>
      </w:pPr>
      <w:r w:rsidRPr="00A6626A">
        <w:rPr>
          <w:rFonts w:ascii="Times New Roman" w:hAnsi="Times New Roman"/>
          <w:u w:val="single"/>
        </w:rPr>
        <w:t>Implementation partner</w:t>
      </w:r>
    </w:p>
    <w:p w:rsidR="00A6626A" w:rsidRPr="00A6626A" w:rsidRDefault="00A6626A" w:rsidP="00A6626A">
      <w:pPr>
        <w:ind w:left="360"/>
        <w:rPr>
          <w:rFonts w:ascii="Times New Roman" w:hAnsi="Times New Roman"/>
          <w:u w:val="single"/>
        </w:rPr>
      </w:pPr>
    </w:p>
    <w:p w:rsidR="00A6626A" w:rsidRPr="00A6626A" w:rsidRDefault="00A6626A" w:rsidP="00A6626A">
      <w:pPr>
        <w:ind w:left="360"/>
        <w:rPr>
          <w:rFonts w:ascii="Times New Roman" w:hAnsi="Times New Roman"/>
        </w:rPr>
      </w:pPr>
      <w:r w:rsidRPr="00A6626A">
        <w:rPr>
          <w:rFonts w:ascii="Times New Roman" w:hAnsi="Times New Roman"/>
        </w:rPr>
        <w:t>Direct implementation (DIM)</w:t>
      </w:r>
    </w:p>
    <w:p w:rsidR="00A6626A" w:rsidRPr="00A6626A" w:rsidRDefault="00A6626A" w:rsidP="00A6626A">
      <w:pPr>
        <w:ind w:left="360"/>
        <w:rPr>
          <w:rFonts w:ascii="Times New Roman" w:hAnsi="Times New Roman"/>
        </w:rPr>
      </w:pPr>
      <w:r w:rsidRPr="00A6626A">
        <w:rPr>
          <w:rFonts w:ascii="Times New Roman" w:hAnsi="Times New Roman"/>
        </w:rPr>
        <w:t>Implementing Partners: government institutions at local level, INGOs, NGO</w:t>
      </w:r>
      <w:bookmarkStart w:id="0" w:name="_GoBack"/>
      <w:bookmarkEnd w:id="0"/>
      <w:r w:rsidRPr="00A6626A">
        <w:rPr>
          <w:rFonts w:ascii="Times New Roman" w:hAnsi="Times New Roman"/>
        </w:rPr>
        <w:t>s, CBOs</w:t>
      </w:r>
    </w:p>
    <w:p w:rsidR="00A6626A" w:rsidRPr="00A6626A" w:rsidRDefault="00A6626A" w:rsidP="00A6626A">
      <w:pPr>
        <w:rPr>
          <w:rFonts w:ascii="Times New Roman" w:hAnsi="Times New Roman"/>
        </w:rPr>
      </w:pPr>
    </w:p>
    <w:p w:rsidR="005F5427" w:rsidRDefault="00E06040" w:rsidP="00FA0773">
      <w:pPr>
        <w:pStyle w:val="ListParagraph"/>
        <w:numPr>
          <w:ilvl w:val="0"/>
          <w:numId w:val="1"/>
        </w:numPr>
        <w:rPr>
          <w:rFonts w:ascii="Times New Roman" w:hAnsi="Times New Roman"/>
          <w:u w:val="single"/>
        </w:rPr>
      </w:pPr>
      <w:r w:rsidRPr="00A6626A">
        <w:rPr>
          <w:rFonts w:ascii="Times New Roman" w:hAnsi="Times New Roman"/>
          <w:u w:val="single"/>
        </w:rPr>
        <w:t xml:space="preserve">Outputs/ Results </w:t>
      </w:r>
    </w:p>
    <w:p w:rsidR="00A6626A" w:rsidRDefault="00A6626A" w:rsidP="00A6626A">
      <w:pPr>
        <w:rPr>
          <w:rFonts w:ascii="Times New Roman" w:hAnsi="Times New Roman"/>
          <w:u w:val="single"/>
        </w:rPr>
      </w:pPr>
    </w:p>
    <w:p w:rsidR="00A6626A" w:rsidRDefault="00000FAC" w:rsidP="00A6626A">
      <w:pPr>
        <w:numPr>
          <w:ilvl w:val="0"/>
          <w:numId w:val="2"/>
        </w:numPr>
        <w:autoSpaceDE w:val="0"/>
        <w:autoSpaceDN w:val="0"/>
        <w:adjustRightInd w:val="0"/>
        <w:jc w:val="both"/>
        <w:rPr>
          <w:rFonts w:ascii="Times New Roman" w:hAnsi="Times New Roman"/>
          <w:color w:val="000000"/>
        </w:rPr>
      </w:pPr>
      <w:r>
        <w:rPr>
          <w:rFonts w:ascii="Times New Roman" w:hAnsi="Times New Roman"/>
          <w:color w:val="000000"/>
        </w:rPr>
        <w:t>L</w:t>
      </w:r>
      <w:r w:rsidR="003A2BAC" w:rsidRPr="003A2BAC">
        <w:rPr>
          <w:rFonts w:ascii="Times New Roman" w:hAnsi="Times New Roman"/>
          <w:color w:val="000000"/>
        </w:rPr>
        <w:t xml:space="preserve">ocal governments and administrations </w:t>
      </w:r>
      <w:r>
        <w:rPr>
          <w:rFonts w:ascii="Times New Roman" w:hAnsi="Times New Roman"/>
          <w:color w:val="000000"/>
        </w:rPr>
        <w:t xml:space="preserve">have strengthened capacities </w:t>
      </w:r>
      <w:r w:rsidR="003A2BAC" w:rsidRPr="003A2BAC">
        <w:rPr>
          <w:rFonts w:ascii="Times New Roman" w:hAnsi="Times New Roman"/>
          <w:color w:val="000000"/>
        </w:rPr>
        <w:t>for participatory planning</w:t>
      </w:r>
      <w:r w:rsidR="003A2BAC">
        <w:rPr>
          <w:rFonts w:ascii="Times New Roman" w:hAnsi="Times New Roman"/>
          <w:color w:val="000000"/>
        </w:rPr>
        <w:t xml:space="preserve"> and equitable service-delivery</w:t>
      </w:r>
    </w:p>
    <w:p w:rsidR="003A2BAC" w:rsidRPr="005E175F" w:rsidRDefault="003A2BAC" w:rsidP="00821F2D">
      <w:pPr>
        <w:autoSpaceDE w:val="0"/>
        <w:autoSpaceDN w:val="0"/>
        <w:adjustRightInd w:val="0"/>
        <w:rPr>
          <w:rFonts w:ascii="Times New Roman" w:hAnsi="Times New Roman"/>
        </w:rPr>
      </w:pPr>
    </w:p>
    <w:p w:rsidR="00000FAC" w:rsidRPr="00821F2D" w:rsidRDefault="00000FAC" w:rsidP="00821F2D">
      <w:pPr>
        <w:pStyle w:val="ListParagraph"/>
        <w:numPr>
          <w:ilvl w:val="0"/>
          <w:numId w:val="2"/>
        </w:numPr>
        <w:overflowPunct w:val="0"/>
        <w:autoSpaceDE w:val="0"/>
        <w:autoSpaceDN w:val="0"/>
        <w:adjustRightInd w:val="0"/>
        <w:textAlignment w:val="baseline"/>
        <w:rPr>
          <w:rFonts w:cs="Arial"/>
          <w:lang w:val="en-GB"/>
        </w:rPr>
      </w:pPr>
      <w:r w:rsidRPr="00821F2D">
        <w:rPr>
          <w:rFonts w:ascii="Times New Roman" w:hAnsi="Times New Roman"/>
          <w:color w:val="000000"/>
        </w:rPr>
        <w:t xml:space="preserve">Vulnerable communities, including returnees, have increased opportunities for income-generation, sustainable livelihoods and community development </w:t>
      </w:r>
    </w:p>
    <w:p w:rsidR="00821F2D" w:rsidRDefault="00821F2D" w:rsidP="00000FAC">
      <w:pPr>
        <w:autoSpaceDE w:val="0"/>
        <w:autoSpaceDN w:val="0"/>
        <w:adjustRightInd w:val="0"/>
        <w:jc w:val="both"/>
        <w:rPr>
          <w:rFonts w:ascii="Times New Roman" w:hAnsi="Times New Roman"/>
          <w:color w:val="000000"/>
        </w:rPr>
      </w:pPr>
    </w:p>
    <w:p w:rsidR="003A2BAC" w:rsidRDefault="00000FAC" w:rsidP="009D3602">
      <w:pPr>
        <w:numPr>
          <w:ilvl w:val="0"/>
          <w:numId w:val="2"/>
        </w:numPr>
        <w:autoSpaceDE w:val="0"/>
        <w:autoSpaceDN w:val="0"/>
        <w:adjustRightInd w:val="0"/>
        <w:jc w:val="both"/>
        <w:rPr>
          <w:rFonts w:ascii="Times New Roman" w:hAnsi="Times New Roman"/>
          <w:color w:val="000000"/>
        </w:rPr>
      </w:pPr>
      <w:r w:rsidRPr="00000FAC">
        <w:rPr>
          <w:rFonts w:ascii="Times New Roman" w:hAnsi="Times New Roman"/>
          <w:color w:val="000000"/>
        </w:rPr>
        <w:t>Vulnerable populations</w:t>
      </w:r>
      <w:r>
        <w:rPr>
          <w:rFonts w:ascii="Times New Roman" w:hAnsi="Times New Roman"/>
          <w:color w:val="000000"/>
        </w:rPr>
        <w:t>, including returnees</w:t>
      </w:r>
      <w:r w:rsidRPr="00000FAC">
        <w:rPr>
          <w:rFonts w:ascii="Times New Roman" w:hAnsi="Times New Roman"/>
          <w:color w:val="000000"/>
        </w:rPr>
        <w:t xml:space="preserve"> have increased opportunities for justice redress and </w:t>
      </w:r>
      <w:r w:rsidR="003A2BAC" w:rsidRPr="00000FAC">
        <w:rPr>
          <w:rFonts w:ascii="Times New Roman" w:hAnsi="Times New Roman"/>
          <w:color w:val="000000"/>
        </w:rPr>
        <w:t xml:space="preserve">dispute resolution </w:t>
      </w:r>
    </w:p>
    <w:p w:rsidR="00000FAC" w:rsidRPr="00000FAC" w:rsidRDefault="00000FAC" w:rsidP="00000FAC">
      <w:pPr>
        <w:rPr>
          <w:rFonts w:ascii="Times New Roman" w:hAnsi="Times New Roman"/>
          <w:color w:val="000000"/>
        </w:rPr>
      </w:pPr>
    </w:p>
    <w:p w:rsidR="00000FAC" w:rsidRDefault="00000FAC" w:rsidP="00A6626A">
      <w:pPr>
        <w:numPr>
          <w:ilvl w:val="0"/>
          <w:numId w:val="2"/>
        </w:numPr>
        <w:autoSpaceDE w:val="0"/>
        <w:autoSpaceDN w:val="0"/>
        <w:adjustRightInd w:val="0"/>
        <w:jc w:val="both"/>
        <w:rPr>
          <w:rFonts w:ascii="Times New Roman" w:hAnsi="Times New Roman"/>
          <w:color w:val="000000"/>
        </w:rPr>
      </w:pPr>
      <w:r>
        <w:rPr>
          <w:rFonts w:ascii="Times New Roman" w:hAnsi="Times New Roman"/>
          <w:color w:val="000000"/>
        </w:rPr>
        <w:t xml:space="preserve">Local institutions and actors have improved capacities for conflict sensitivity, peacebuilding and social cohesion </w:t>
      </w:r>
    </w:p>
    <w:p w:rsidR="00821F2D" w:rsidRDefault="00821F2D" w:rsidP="00821F2D">
      <w:pPr>
        <w:pStyle w:val="ListParagraph"/>
        <w:rPr>
          <w:rFonts w:ascii="Times New Roman" w:hAnsi="Times New Roman"/>
          <w:color w:val="000000"/>
        </w:rPr>
      </w:pPr>
    </w:p>
    <w:p w:rsidR="003A2BAC" w:rsidRPr="003A2BAC" w:rsidRDefault="003A2BAC" w:rsidP="00000FAC">
      <w:pPr>
        <w:autoSpaceDE w:val="0"/>
        <w:autoSpaceDN w:val="0"/>
        <w:adjustRightInd w:val="0"/>
        <w:jc w:val="both"/>
        <w:rPr>
          <w:rFonts w:ascii="Times New Roman" w:hAnsi="Times New Roman"/>
          <w:color w:val="000000"/>
        </w:rPr>
      </w:pPr>
    </w:p>
    <w:p w:rsidR="00A6626A" w:rsidRPr="003A2BAC" w:rsidRDefault="00A6626A" w:rsidP="00000FAC">
      <w:pPr>
        <w:autoSpaceDE w:val="0"/>
        <w:autoSpaceDN w:val="0"/>
        <w:adjustRightInd w:val="0"/>
        <w:jc w:val="both"/>
        <w:rPr>
          <w:rFonts w:ascii="Times New Roman" w:hAnsi="Times New Roman"/>
          <w:color w:val="000000"/>
        </w:rPr>
      </w:pPr>
    </w:p>
    <w:p w:rsidR="00A6626A" w:rsidRPr="00A6626A" w:rsidRDefault="00A6626A" w:rsidP="00A6626A">
      <w:pPr>
        <w:rPr>
          <w:rFonts w:ascii="Times New Roman" w:hAnsi="Times New Roman"/>
          <w:u w:val="single"/>
        </w:rPr>
      </w:pPr>
    </w:p>
    <w:sectPr w:rsidR="00A6626A" w:rsidRPr="00A66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DC" w:rsidRDefault="00FA3EDC" w:rsidP="00E06040">
      <w:r>
        <w:separator/>
      </w:r>
    </w:p>
  </w:endnote>
  <w:endnote w:type="continuationSeparator" w:id="0">
    <w:p w:rsidR="00FA3EDC" w:rsidRDefault="00FA3EDC" w:rsidP="00E0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DC" w:rsidRDefault="00FA3EDC" w:rsidP="00E06040">
      <w:r>
        <w:separator/>
      </w:r>
    </w:p>
  </w:footnote>
  <w:footnote w:type="continuationSeparator" w:id="0">
    <w:p w:rsidR="00FA3EDC" w:rsidRDefault="00FA3EDC" w:rsidP="00E06040">
      <w:r>
        <w:continuationSeparator/>
      </w:r>
    </w:p>
  </w:footnote>
  <w:footnote w:id="1">
    <w:p w:rsidR="00E06040" w:rsidRPr="008C2E59" w:rsidRDefault="00E06040" w:rsidP="00E06040">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7C1F"/>
    <w:multiLevelType w:val="hybridMultilevel"/>
    <w:tmpl w:val="FF6A54BC"/>
    <w:lvl w:ilvl="0" w:tplc="2966B85C">
      <w:start w:val="1"/>
      <w:numFmt w:val="bullet"/>
      <w:lvlText w:val="•"/>
      <w:lvlJc w:val="left"/>
      <w:pPr>
        <w:tabs>
          <w:tab w:val="num" w:pos="720"/>
        </w:tabs>
        <w:ind w:left="720" w:hanging="360"/>
      </w:pPr>
      <w:rPr>
        <w:rFonts w:ascii="Arial" w:hAnsi="Arial" w:hint="default"/>
      </w:rPr>
    </w:lvl>
    <w:lvl w:ilvl="1" w:tplc="50F2C1EC" w:tentative="1">
      <w:start w:val="1"/>
      <w:numFmt w:val="bullet"/>
      <w:lvlText w:val="•"/>
      <w:lvlJc w:val="left"/>
      <w:pPr>
        <w:tabs>
          <w:tab w:val="num" w:pos="1440"/>
        </w:tabs>
        <w:ind w:left="1440" w:hanging="360"/>
      </w:pPr>
      <w:rPr>
        <w:rFonts w:ascii="Arial" w:hAnsi="Arial" w:hint="default"/>
      </w:rPr>
    </w:lvl>
    <w:lvl w:ilvl="2" w:tplc="322C39BE" w:tentative="1">
      <w:start w:val="1"/>
      <w:numFmt w:val="bullet"/>
      <w:lvlText w:val="•"/>
      <w:lvlJc w:val="left"/>
      <w:pPr>
        <w:tabs>
          <w:tab w:val="num" w:pos="2160"/>
        </w:tabs>
        <w:ind w:left="2160" w:hanging="360"/>
      </w:pPr>
      <w:rPr>
        <w:rFonts w:ascii="Arial" w:hAnsi="Arial" w:hint="default"/>
      </w:rPr>
    </w:lvl>
    <w:lvl w:ilvl="3" w:tplc="A0381078" w:tentative="1">
      <w:start w:val="1"/>
      <w:numFmt w:val="bullet"/>
      <w:lvlText w:val="•"/>
      <w:lvlJc w:val="left"/>
      <w:pPr>
        <w:tabs>
          <w:tab w:val="num" w:pos="2880"/>
        </w:tabs>
        <w:ind w:left="2880" w:hanging="360"/>
      </w:pPr>
      <w:rPr>
        <w:rFonts w:ascii="Arial" w:hAnsi="Arial" w:hint="default"/>
      </w:rPr>
    </w:lvl>
    <w:lvl w:ilvl="4" w:tplc="2D8E022A" w:tentative="1">
      <w:start w:val="1"/>
      <w:numFmt w:val="bullet"/>
      <w:lvlText w:val="•"/>
      <w:lvlJc w:val="left"/>
      <w:pPr>
        <w:tabs>
          <w:tab w:val="num" w:pos="3600"/>
        </w:tabs>
        <w:ind w:left="3600" w:hanging="360"/>
      </w:pPr>
      <w:rPr>
        <w:rFonts w:ascii="Arial" w:hAnsi="Arial" w:hint="default"/>
      </w:rPr>
    </w:lvl>
    <w:lvl w:ilvl="5" w:tplc="802EC324" w:tentative="1">
      <w:start w:val="1"/>
      <w:numFmt w:val="bullet"/>
      <w:lvlText w:val="•"/>
      <w:lvlJc w:val="left"/>
      <w:pPr>
        <w:tabs>
          <w:tab w:val="num" w:pos="4320"/>
        </w:tabs>
        <w:ind w:left="4320" w:hanging="360"/>
      </w:pPr>
      <w:rPr>
        <w:rFonts w:ascii="Arial" w:hAnsi="Arial" w:hint="default"/>
      </w:rPr>
    </w:lvl>
    <w:lvl w:ilvl="6" w:tplc="CB621308" w:tentative="1">
      <w:start w:val="1"/>
      <w:numFmt w:val="bullet"/>
      <w:lvlText w:val="•"/>
      <w:lvlJc w:val="left"/>
      <w:pPr>
        <w:tabs>
          <w:tab w:val="num" w:pos="5040"/>
        </w:tabs>
        <w:ind w:left="5040" w:hanging="360"/>
      </w:pPr>
      <w:rPr>
        <w:rFonts w:ascii="Arial" w:hAnsi="Arial" w:hint="default"/>
      </w:rPr>
    </w:lvl>
    <w:lvl w:ilvl="7" w:tplc="5706D9BC" w:tentative="1">
      <w:start w:val="1"/>
      <w:numFmt w:val="bullet"/>
      <w:lvlText w:val="•"/>
      <w:lvlJc w:val="left"/>
      <w:pPr>
        <w:tabs>
          <w:tab w:val="num" w:pos="5760"/>
        </w:tabs>
        <w:ind w:left="5760" w:hanging="360"/>
      </w:pPr>
      <w:rPr>
        <w:rFonts w:ascii="Arial" w:hAnsi="Arial" w:hint="default"/>
      </w:rPr>
    </w:lvl>
    <w:lvl w:ilvl="8" w:tplc="85908B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1B3480"/>
    <w:multiLevelType w:val="hybridMultilevel"/>
    <w:tmpl w:val="0A7C9858"/>
    <w:lvl w:ilvl="0" w:tplc="9F0E5710">
      <w:start w:val="1"/>
      <w:numFmt w:val="bullet"/>
      <w:lvlText w:val=""/>
      <w:lvlJc w:val="left"/>
      <w:pPr>
        <w:tabs>
          <w:tab w:val="num" w:pos="288"/>
        </w:tabs>
        <w:ind w:left="288" w:hanging="288"/>
      </w:pPr>
      <w:rPr>
        <w:rFonts w:ascii="Wingdings" w:hAnsi="Wingdings" w:hint="default"/>
        <w:color w:val="auto"/>
      </w:rPr>
    </w:lvl>
    <w:lvl w:ilvl="1" w:tplc="FAF42A30">
      <w:start w:val="1"/>
      <w:numFmt w:val="bullet"/>
      <w:lvlText w:val=""/>
      <w:lvlJc w:val="left"/>
      <w:pPr>
        <w:tabs>
          <w:tab w:val="num" w:pos="288"/>
        </w:tabs>
        <w:ind w:left="288" w:hanging="288"/>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44F3E"/>
    <w:multiLevelType w:val="hybridMultilevel"/>
    <w:tmpl w:val="B046F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D13FC8"/>
    <w:multiLevelType w:val="multilevel"/>
    <w:tmpl w:val="9AA658F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8B45E5D"/>
    <w:multiLevelType w:val="multilevel"/>
    <w:tmpl w:val="D2606BD8"/>
    <w:lvl w:ilvl="0">
      <w:start w:val="2"/>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648" w:hanging="360"/>
      </w:pPr>
      <w:rPr>
        <w:rFonts w:ascii="Times New Roman" w:hAnsi="Times New Roman" w:cs="Times New Roman" w:hint="default"/>
        <w:color w:val="000000"/>
      </w:rPr>
    </w:lvl>
    <w:lvl w:ilvl="2">
      <w:start w:val="1"/>
      <w:numFmt w:val="decimal"/>
      <w:lvlText w:val="%1.%2.%3"/>
      <w:lvlJc w:val="left"/>
      <w:pPr>
        <w:ind w:left="1296" w:hanging="720"/>
      </w:pPr>
      <w:rPr>
        <w:rFonts w:ascii="Times New Roman" w:hAnsi="Times New Roman" w:cs="Times New Roman" w:hint="default"/>
        <w:color w:val="000000"/>
      </w:rPr>
    </w:lvl>
    <w:lvl w:ilvl="3">
      <w:start w:val="1"/>
      <w:numFmt w:val="decimal"/>
      <w:lvlText w:val="%1.%2.%3.%4"/>
      <w:lvlJc w:val="left"/>
      <w:pPr>
        <w:ind w:left="1584" w:hanging="720"/>
      </w:pPr>
      <w:rPr>
        <w:rFonts w:ascii="Times New Roman" w:hAnsi="Times New Roman" w:cs="Times New Roman" w:hint="default"/>
        <w:color w:val="000000"/>
      </w:rPr>
    </w:lvl>
    <w:lvl w:ilvl="4">
      <w:start w:val="1"/>
      <w:numFmt w:val="decimal"/>
      <w:lvlText w:val="%1.%2.%3.%4.%5"/>
      <w:lvlJc w:val="left"/>
      <w:pPr>
        <w:ind w:left="2232" w:hanging="1080"/>
      </w:pPr>
      <w:rPr>
        <w:rFonts w:ascii="Times New Roman" w:hAnsi="Times New Roman" w:cs="Times New Roman" w:hint="default"/>
        <w:color w:val="000000"/>
      </w:rPr>
    </w:lvl>
    <w:lvl w:ilvl="5">
      <w:start w:val="1"/>
      <w:numFmt w:val="decimal"/>
      <w:lvlText w:val="%1.%2.%3.%4.%5.%6"/>
      <w:lvlJc w:val="left"/>
      <w:pPr>
        <w:ind w:left="2520" w:hanging="1080"/>
      </w:pPr>
      <w:rPr>
        <w:rFonts w:ascii="Times New Roman" w:hAnsi="Times New Roman" w:cs="Times New Roman" w:hint="default"/>
        <w:color w:val="000000"/>
      </w:rPr>
    </w:lvl>
    <w:lvl w:ilvl="6">
      <w:start w:val="1"/>
      <w:numFmt w:val="decimal"/>
      <w:lvlText w:val="%1.%2.%3.%4.%5.%6.%7"/>
      <w:lvlJc w:val="left"/>
      <w:pPr>
        <w:ind w:left="3168" w:hanging="1440"/>
      </w:pPr>
      <w:rPr>
        <w:rFonts w:ascii="Times New Roman" w:hAnsi="Times New Roman" w:cs="Times New Roman" w:hint="default"/>
        <w:color w:val="000000"/>
      </w:rPr>
    </w:lvl>
    <w:lvl w:ilvl="7">
      <w:start w:val="1"/>
      <w:numFmt w:val="decimal"/>
      <w:lvlText w:val="%1.%2.%3.%4.%5.%6.%7.%8"/>
      <w:lvlJc w:val="left"/>
      <w:pPr>
        <w:ind w:left="3456" w:hanging="1440"/>
      </w:pPr>
      <w:rPr>
        <w:rFonts w:ascii="Times New Roman" w:hAnsi="Times New Roman" w:cs="Times New Roman" w:hint="default"/>
        <w:color w:val="000000"/>
      </w:rPr>
    </w:lvl>
    <w:lvl w:ilvl="8">
      <w:start w:val="1"/>
      <w:numFmt w:val="decimal"/>
      <w:lvlText w:val="%1.%2.%3.%4.%5.%6.%7.%8.%9"/>
      <w:lvlJc w:val="left"/>
      <w:pPr>
        <w:ind w:left="3744" w:hanging="1440"/>
      </w:pPr>
      <w:rPr>
        <w:rFonts w:ascii="Times New Roman" w:hAnsi="Times New Roman" w:cs="Times New Roman" w:hint="default"/>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40"/>
    <w:rsid w:val="00000FAC"/>
    <w:rsid w:val="003A2BAC"/>
    <w:rsid w:val="004E501E"/>
    <w:rsid w:val="005E175F"/>
    <w:rsid w:val="005F5427"/>
    <w:rsid w:val="00821F2D"/>
    <w:rsid w:val="00877320"/>
    <w:rsid w:val="008B3389"/>
    <w:rsid w:val="00A6626A"/>
    <w:rsid w:val="00D414DA"/>
    <w:rsid w:val="00E06040"/>
    <w:rsid w:val="00FA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9D01D-A750-4197-92BD-7AE1ACC7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40"/>
    <w:pPr>
      <w:ind w:left="720"/>
    </w:pPr>
  </w:style>
  <w:style w:type="paragraph" w:styleId="FootnoteText">
    <w:name w:val="footnote text"/>
    <w:aliases w:val="FOOTNOTES,fn,single space Char,single space,fn Char Char,fn Char Char Char Char,fn Char Char Char"/>
    <w:basedOn w:val="Normal"/>
    <w:link w:val="FootnoteTextChar"/>
    <w:uiPriority w:val="99"/>
    <w:unhideWhenUsed/>
    <w:rsid w:val="00E06040"/>
    <w:rPr>
      <w:rFonts w:asciiTheme="minorHAnsi" w:hAnsiTheme="minorHAnsi" w:cstheme="minorBidi"/>
      <w:sz w:val="20"/>
      <w:szCs w:val="20"/>
    </w:rPr>
  </w:style>
  <w:style w:type="character" w:customStyle="1" w:styleId="FootnoteTextChar">
    <w:name w:val="Footnote Text Char"/>
    <w:aliases w:val="FOOTNOTES Char,fn Char,single space Char Char,single space Char1,fn Char Char Char1,fn Char Char Char Char Char,fn Char Char Char Char1"/>
    <w:basedOn w:val="DefaultParagraphFont"/>
    <w:link w:val="FootnoteText"/>
    <w:uiPriority w:val="99"/>
    <w:rsid w:val="00E06040"/>
    <w:rPr>
      <w:sz w:val="20"/>
      <w:szCs w:val="20"/>
    </w:rPr>
  </w:style>
  <w:style w:type="character" w:styleId="FootnoteReference">
    <w:name w:val="footnote reference"/>
    <w:basedOn w:val="DefaultParagraphFont"/>
    <w:uiPriority w:val="99"/>
    <w:unhideWhenUsed/>
    <w:rsid w:val="00E06040"/>
    <w:rPr>
      <w:vertAlign w:val="superscript"/>
    </w:rPr>
  </w:style>
  <w:style w:type="table" w:styleId="TableGrid">
    <w:name w:val="Table Grid"/>
    <w:basedOn w:val="TableNormal"/>
    <w:uiPriority w:val="39"/>
    <w:rsid w:val="004E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2015-06-04T03:00:00+00:00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1107</Value>
      <Value>1</Value>
    </TaxCatchAll>
    <c4e2ab2cc9354bbf9064eeb465a566ea xmlns="1ed4137b-41b2-488b-8250-6d369ec27664">
      <Terms xmlns="http://schemas.microsoft.com/office/infopath/2007/PartnerControls"/>
    </c4e2ab2cc9354bbf9064eeb465a566ea>
    <UndpProjectNo xmlns="1ed4137b-41b2-488b-8250-6d369ec27664">00089167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ATLASPDC-4-32643</_dlc_DocId>
    <_dlc_DocIdUrl xmlns="f1161f5b-24a3-4c2d-bc81-44cb9325e8ee">
      <Url>https://info.undp.org/docs/pdc/_layouts/DocIdRedir.aspx?ID=ATLASPDC-4-32643</Url>
      <Description>ATLASPDC-4-32643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F1DB48E-736B-40ED-A653-AEBF07E1D904}"/>
</file>

<file path=customXml/itemProps2.xml><?xml version="1.0" encoding="utf-8"?>
<ds:datastoreItem xmlns:ds="http://schemas.openxmlformats.org/officeDocument/2006/customXml" ds:itemID="{C413EEA4-710A-407B-AEE2-2BDA0FD9B718}"/>
</file>

<file path=customXml/itemProps3.xml><?xml version="1.0" encoding="utf-8"?>
<ds:datastoreItem xmlns:ds="http://schemas.openxmlformats.org/officeDocument/2006/customXml" ds:itemID="{D5CB80A4-A074-43C1-8614-962F68CEA573}"/>
</file>

<file path=customXml/itemProps4.xml><?xml version="1.0" encoding="utf-8"?>
<ds:datastoreItem xmlns:ds="http://schemas.openxmlformats.org/officeDocument/2006/customXml" ds:itemID="{9BD124A2-1265-4326-87EE-6D896A82951A}"/>
</file>

<file path=customXml/itemProps5.xml><?xml version="1.0" encoding="utf-8"?>
<ds:datastoreItem xmlns:ds="http://schemas.openxmlformats.org/officeDocument/2006/customXml" ds:itemID="{E65A3492-A11E-42A8-AF7A-B885F8235698}"/>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support programme in Suth- Eastern Myanmar</dc:title>
  <dc:subject/>
  <dc:creator>dilrukshi.fonseka</dc:creator>
  <cp:keywords/>
  <dc:description/>
  <cp:lastModifiedBy>Myint Ngwe Mon</cp:lastModifiedBy>
  <cp:revision>2</cp:revision>
  <cp:lastPrinted>2015-06-03T07:35:00Z</cp:lastPrinted>
  <dcterms:created xsi:type="dcterms:W3CDTF">2015-06-03T09:05:00Z</dcterms:created>
  <dcterms:modified xsi:type="dcterms:W3CDTF">2015-06-03T09:05:00Z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d9728e1d-c0ce-4403-b14c-131f6096f105</vt:lpwstr>
  </property>
  <property fmtid="{D5CDD505-2E9C-101B-9397-08002B2CF9AE}" pid="18" name="URL">
    <vt:lpwstr/>
  </property>
  <property fmtid="{D5CDD505-2E9C-101B-9397-08002B2CF9AE}" pid="19" name="DocumentSetDescription">
    <vt:lpwstr/>
  </property>
</Properties>
</file>